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04" w:rsidRDefault="001D3C04" w:rsidP="00820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</w:rPr>
        <w:t>TL 21</w:t>
      </w:r>
    </w:p>
    <w:p w:rsidR="008202CB" w:rsidRDefault="008202CB" w:rsidP="008202CB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b/>
          <w:bCs/>
        </w:rPr>
        <w:t>ANDRÓ</w:t>
      </w:r>
      <w:r w:rsidR="00C222A9" w:rsidRPr="008202CB">
        <w:rPr>
          <w:rFonts w:ascii="Times New Roman" w:eastAsia="Times New Roman" w:hAnsi="Times New Roman" w:cs="Times New Roman"/>
          <w:b/>
          <w:bCs/>
        </w:rPr>
        <w:t>GENOS DURANTE LA PUBERTAD</w:t>
      </w:r>
      <w:r>
        <w:rPr>
          <w:rFonts w:ascii="Times New Roman" w:eastAsia="Times New Roman" w:hAnsi="Times New Roman" w:cs="Times New Roman"/>
          <w:b/>
          <w:bCs/>
        </w:rPr>
        <w:t xml:space="preserve"> EN NIÑAS CON ADRENARQUIA BIOQUÍ</w:t>
      </w:r>
      <w:r w:rsidR="00C222A9" w:rsidRPr="008202CB">
        <w:rPr>
          <w:rFonts w:ascii="Times New Roman" w:eastAsia="Times New Roman" w:hAnsi="Times New Roman" w:cs="Times New Roman"/>
          <w:b/>
          <w:bCs/>
        </w:rPr>
        <w:t xml:space="preserve">MICA PREMATURA </w:t>
      </w:r>
      <w:r w:rsidR="00C222A9" w:rsidRPr="008202CB">
        <w:rPr>
          <w:rFonts w:ascii="Times New Roman" w:eastAsia="Times New Roman" w:hAnsi="Times New Roman" w:cs="Times New Roman"/>
        </w:rPr>
        <w:br/>
        <w:t>G</w:t>
      </w:r>
      <w:r>
        <w:rPr>
          <w:rFonts w:ascii="Times New Roman" w:eastAsia="Times New Roman" w:hAnsi="Times New Roman" w:cs="Times New Roman"/>
        </w:rPr>
        <w:t>ermán F. Iñiguez Vila</w:t>
      </w:r>
      <w:r w:rsidR="00C222A9" w:rsidRPr="008202CB">
        <w:rPr>
          <w:rFonts w:ascii="Times New Roman" w:eastAsia="Times New Roman" w:hAnsi="Times New Roman" w:cs="Times New Roman"/>
          <w:vertAlign w:val="superscript"/>
        </w:rPr>
        <w:t>1</w:t>
      </w:r>
      <w:r w:rsidR="00C222A9" w:rsidRPr="008202CB">
        <w:rPr>
          <w:rFonts w:ascii="Times New Roman" w:eastAsia="Times New Roman" w:hAnsi="Times New Roman" w:cs="Times New Roman"/>
        </w:rPr>
        <w:t>, Ana Pereira Scalabrino</w:t>
      </w:r>
      <w:r w:rsidR="00C222A9" w:rsidRPr="008202CB">
        <w:rPr>
          <w:rFonts w:ascii="Times New Roman" w:eastAsia="Times New Roman" w:hAnsi="Times New Roman" w:cs="Times New Roman"/>
          <w:vertAlign w:val="superscript"/>
        </w:rPr>
        <w:t>2</w:t>
      </w:r>
      <w:r w:rsidR="00C222A9" w:rsidRPr="008202CB"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</w:rPr>
        <w:t>aulina Merino Osorio</w:t>
      </w:r>
      <w:r w:rsidR="00C222A9" w:rsidRPr="008202CB">
        <w:rPr>
          <w:rFonts w:ascii="Times New Roman" w:eastAsia="Times New Roman" w:hAnsi="Times New Roman" w:cs="Times New Roman"/>
          <w:vertAlign w:val="superscript"/>
        </w:rPr>
        <w:t>1</w:t>
      </w:r>
      <w:r w:rsidR="00C222A9" w:rsidRPr="008202CB">
        <w:rPr>
          <w:rFonts w:ascii="Times New Roman" w:eastAsia="Times New Roman" w:hAnsi="Times New Roman" w:cs="Times New Roman"/>
        </w:rPr>
        <w:t>, Camila Corvalán Aguilar</w:t>
      </w:r>
      <w:r w:rsidR="00C222A9" w:rsidRPr="008202CB"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>, María Verónica Mericq Guilá</w:t>
      </w:r>
      <w:r w:rsidR="00C222A9" w:rsidRPr="008202CB">
        <w:rPr>
          <w:rFonts w:ascii="Times New Roman" w:eastAsia="Times New Roman" w:hAnsi="Times New Roman" w:cs="Times New Roman"/>
          <w:vertAlign w:val="superscript"/>
        </w:rPr>
        <w:t>1</w:t>
      </w:r>
    </w:p>
    <w:p w:rsidR="008202CB" w:rsidRDefault="00C222A9" w:rsidP="008202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02CB">
        <w:rPr>
          <w:rFonts w:ascii="Times New Roman" w:eastAsia="Times New Roman" w:hAnsi="Times New Roman" w:cs="Times New Roman"/>
          <w:vertAlign w:val="superscript"/>
        </w:rPr>
        <w:t>1</w:t>
      </w:r>
      <w:r w:rsidRPr="008202CB">
        <w:rPr>
          <w:rFonts w:ascii="Times New Roman" w:eastAsia="Times New Roman" w:hAnsi="Times New Roman" w:cs="Times New Roman"/>
        </w:rPr>
        <w:t xml:space="preserve">Instituto de Investigaciones Materno Infantil (IDIMI), Facultad de Medicina, Universidad de Chile, </w:t>
      </w:r>
      <w:r w:rsidRPr="008202CB">
        <w:rPr>
          <w:rFonts w:ascii="Times New Roman" w:eastAsia="Times New Roman" w:hAnsi="Times New Roman" w:cs="Times New Roman"/>
          <w:vertAlign w:val="superscript"/>
        </w:rPr>
        <w:t>2</w:t>
      </w:r>
      <w:r w:rsidRPr="008202CB">
        <w:rPr>
          <w:rFonts w:ascii="Times New Roman" w:eastAsia="Times New Roman" w:hAnsi="Times New Roman" w:cs="Times New Roman"/>
        </w:rPr>
        <w:t>Instituto de Nutrición y Tecnología de los Alimentos (INTA)</w:t>
      </w:r>
    </w:p>
    <w:p w:rsidR="009F471C" w:rsidRPr="008202CB" w:rsidRDefault="00C222A9" w:rsidP="008202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02CB">
        <w:rPr>
          <w:rFonts w:ascii="Times New Roman" w:eastAsia="Times New Roman" w:hAnsi="Times New Roman" w:cs="Times New Roman"/>
          <w:b/>
          <w:bCs/>
        </w:rPr>
        <w:t xml:space="preserve">Contenido: </w:t>
      </w:r>
    </w:p>
    <w:p w:rsidR="009F471C" w:rsidRPr="008202CB" w:rsidRDefault="00C222A9" w:rsidP="008202C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202CB">
        <w:rPr>
          <w:sz w:val="22"/>
          <w:szCs w:val="22"/>
        </w:rPr>
        <w:t xml:space="preserve">La adrenarquia (AP) prematura ha sido identificada como un factor de riesgo para PCOS. Este riesgo puede depender de factores como la etnia, el peso al nacer y el aumento de peso en la infancia. En la cohorte ECCO (cohorte de crecimiento y obesidad) seguida desde 2006 (nacidos en 2002-2003), la AP se definió por DHEAS (RIA)&gt; percentil 75 para el sexo (DHEAS alta (DA) &gt; 420 ng/ml a la edad de 7,0 años. Objetivo: determinar las concentraciones de andrógenos durante la pubertad en niñas con DA y DHEAS normal (DN) y evaluar la variabilidad de DHEAS determinada por 2 métodos (RIA y LCMS/MS) durante la pubertad. Métodos: 242 niñas (60 DA) con examen clínico anual incluyendo evaluación de Tanner de mama (TM) hasta 1 año </w:t>
      </w:r>
      <w:proofErr w:type="spellStart"/>
      <w:r w:rsidRPr="008202CB">
        <w:rPr>
          <w:sz w:val="22"/>
          <w:szCs w:val="22"/>
        </w:rPr>
        <w:t>posmenarquia</w:t>
      </w:r>
      <w:proofErr w:type="spellEnd"/>
      <w:r w:rsidRPr="008202CB">
        <w:rPr>
          <w:sz w:val="22"/>
          <w:szCs w:val="22"/>
        </w:rPr>
        <w:t xml:space="preserve"> (PM) y muestra de sangre en ayunas para DHEAS, DHEA, androstenediona (A2), testosterona (T) y 17-hidroxiprogesterona (17OHP) (RIA y LC-MS/MS). Se usó la prueba de Mann-Whitney para comparar la diferencia entre alta DHEAS y grupos normales de DHEAS. Los resultados se resumen en la tabla como promedio ± SEM; se consideró un p &lt;0,05 como significativo. Las niñas con DA presentaron un desarrollo de mama, vello (9,3 vs 9,8 años) y menarquia (11,7 vs. 12 años) más tempranas que las con DN. El tiempo entre TM2 y la menarquia fue similar entre los grupos.</w:t>
      </w:r>
    </w:p>
    <w:tbl>
      <w:tblPr>
        <w:tblW w:w="69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3"/>
        <w:gridCol w:w="2262"/>
        <w:gridCol w:w="2281"/>
      </w:tblGrid>
      <w:tr w:rsidR="009F471C" w:rsidRPr="008202CB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9F471C" w:rsidRPr="008202CB" w:rsidRDefault="00C222A9" w:rsidP="008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2CB">
              <w:rPr>
                <w:rFonts w:ascii="Times New Roman" w:eastAsia="Times New Roman" w:hAnsi="Times New Roman" w:cs="Times New Roman"/>
              </w:rPr>
              <w:t>ng/ml</w:t>
            </w:r>
          </w:p>
        </w:tc>
        <w:tc>
          <w:tcPr>
            <w:tcW w:w="2805" w:type="dxa"/>
            <w:vAlign w:val="center"/>
            <w:hideMark/>
          </w:tcPr>
          <w:p w:rsidR="009F471C" w:rsidRPr="008202CB" w:rsidRDefault="00C222A9" w:rsidP="008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2CB">
              <w:rPr>
                <w:rStyle w:val="Textoennegrita"/>
                <w:rFonts w:ascii="Times New Roman" w:eastAsia="Times New Roman" w:hAnsi="Times New Roman" w:cs="Times New Roman"/>
              </w:rPr>
              <w:t>ND (182)</w:t>
            </w:r>
          </w:p>
        </w:tc>
        <w:tc>
          <w:tcPr>
            <w:tcW w:w="2805" w:type="dxa"/>
            <w:vAlign w:val="center"/>
            <w:hideMark/>
          </w:tcPr>
          <w:p w:rsidR="009F471C" w:rsidRPr="008202CB" w:rsidRDefault="00C222A9" w:rsidP="008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2CB">
              <w:rPr>
                <w:rStyle w:val="Textoennegrita"/>
                <w:rFonts w:ascii="Times New Roman" w:eastAsia="Times New Roman" w:hAnsi="Times New Roman" w:cs="Times New Roman"/>
              </w:rPr>
              <w:t>DA (60)</w:t>
            </w:r>
          </w:p>
        </w:tc>
      </w:tr>
      <w:tr w:rsidR="009F471C" w:rsidRPr="008202CB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9F471C" w:rsidRPr="008202CB" w:rsidRDefault="00C222A9" w:rsidP="008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2CB">
              <w:rPr>
                <w:rFonts w:ascii="Times New Roman" w:eastAsia="Times New Roman" w:hAnsi="Times New Roman" w:cs="Times New Roman"/>
              </w:rPr>
              <w:t>DHEAS 1(RIA)</w:t>
            </w:r>
          </w:p>
        </w:tc>
        <w:tc>
          <w:tcPr>
            <w:tcW w:w="2805" w:type="dxa"/>
            <w:vAlign w:val="center"/>
            <w:hideMark/>
          </w:tcPr>
          <w:p w:rsidR="009F471C" w:rsidRPr="008202CB" w:rsidRDefault="00C222A9" w:rsidP="008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2CB">
              <w:rPr>
                <w:rFonts w:ascii="Times New Roman" w:eastAsia="Times New Roman" w:hAnsi="Times New Roman" w:cs="Times New Roman"/>
              </w:rPr>
              <w:t>245 ± 64</w:t>
            </w:r>
          </w:p>
        </w:tc>
        <w:tc>
          <w:tcPr>
            <w:tcW w:w="2805" w:type="dxa"/>
            <w:vAlign w:val="center"/>
            <w:hideMark/>
          </w:tcPr>
          <w:p w:rsidR="009F471C" w:rsidRPr="008202CB" w:rsidRDefault="00C222A9" w:rsidP="008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2CB">
              <w:rPr>
                <w:rFonts w:ascii="Times New Roman" w:eastAsia="Times New Roman" w:hAnsi="Times New Roman" w:cs="Times New Roman"/>
              </w:rPr>
              <w:t>613 ± 24*</w:t>
            </w:r>
          </w:p>
        </w:tc>
      </w:tr>
      <w:tr w:rsidR="009F471C" w:rsidRPr="008202CB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9F471C" w:rsidRPr="008202CB" w:rsidRDefault="00C222A9" w:rsidP="008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2CB">
              <w:rPr>
                <w:rFonts w:ascii="Times New Roman" w:eastAsia="Times New Roman" w:hAnsi="Times New Roman" w:cs="Times New Roman"/>
              </w:rPr>
              <w:t>DHEAS TM2(RIA)</w:t>
            </w:r>
          </w:p>
        </w:tc>
        <w:tc>
          <w:tcPr>
            <w:tcW w:w="2805" w:type="dxa"/>
            <w:vAlign w:val="center"/>
            <w:hideMark/>
          </w:tcPr>
          <w:p w:rsidR="009F471C" w:rsidRPr="008202CB" w:rsidRDefault="00C222A9" w:rsidP="008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2CB">
              <w:rPr>
                <w:rFonts w:ascii="Times New Roman" w:eastAsia="Times New Roman" w:hAnsi="Times New Roman" w:cs="Times New Roman"/>
              </w:rPr>
              <w:t>519 ± 17</w:t>
            </w:r>
          </w:p>
        </w:tc>
        <w:tc>
          <w:tcPr>
            <w:tcW w:w="2805" w:type="dxa"/>
            <w:vAlign w:val="center"/>
            <w:hideMark/>
          </w:tcPr>
          <w:p w:rsidR="009F471C" w:rsidRPr="008202CB" w:rsidRDefault="00C222A9" w:rsidP="008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2CB">
              <w:rPr>
                <w:rFonts w:ascii="Times New Roman" w:eastAsia="Times New Roman" w:hAnsi="Times New Roman" w:cs="Times New Roman"/>
              </w:rPr>
              <w:t>939 ± 41*</w:t>
            </w:r>
          </w:p>
        </w:tc>
      </w:tr>
      <w:tr w:rsidR="009F471C" w:rsidRPr="008202CB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9F471C" w:rsidRPr="008202CB" w:rsidRDefault="00C222A9" w:rsidP="008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2CB">
              <w:rPr>
                <w:rFonts w:ascii="Times New Roman" w:eastAsia="Times New Roman" w:hAnsi="Times New Roman" w:cs="Times New Roman"/>
              </w:rPr>
              <w:t>DHEAS TM2(LCMS)</w:t>
            </w:r>
          </w:p>
        </w:tc>
        <w:tc>
          <w:tcPr>
            <w:tcW w:w="2805" w:type="dxa"/>
            <w:vAlign w:val="center"/>
            <w:hideMark/>
          </w:tcPr>
          <w:p w:rsidR="009F471C" w:rsidRPr="008202CB" w:rsidRDefault="00C222A9" w:rsidP="008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2CB">
              <w:rPr>
                <w:rFonts w:ascii="Times New Roman" w:eastAsia="Times New Roman" w:hAnsi="Times New Roman" w:cs="Times New Roman"/>
              </w:rPr>
              <w:t>331 ± 13</w:t>
            </w:r>
          </w:p>
        </w:tc>
        <w:tc>
          <w:tcPr>
            <w:tcW w:w="2805" w:type="dxa"/>
            <w:vAlign w:val="center"/>
            <w:hideMark/>
          </w:tcPr>
          <w:p w:rsidR="009F471C" w:rsidRPr="008202CB" w:rsidRDefault="00C222A9" w:rsidP="008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2CB">
              <w:rPr>
                <w:rFonts w:ascii="Times New Roman" w:eastAsia="Times New Roman" w:hAnsi="Times New Roman" w:cs="Times New Roman"/>
              </w:rPr>
              <w:t>649 ± 32*</w:t>
            </w:r>
          </w:p>
        </w:tc>
      </w:tr>
      <w:tr w:rsidR="009F471C" w:rsidRPr="008202CB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9F471C" w:rsidRPr="008202CB" w:rsidRDefault="00C222A9" w:rsidP="008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2CB">
              <w:rPr>
                <w:rFonts w:ascii="Times New Roman" w:eastAsia="Times New Roman" w:hAnsi="Times New Roman" w:cs="Times New Roman"/>
              </w:rPr>
              <w:t>DHEA TM2</w:t>
            </w:r>
          </w:p>
        </w:tc>
        <w:tc>
          <w:tcPr>
            <w:tcW w:w="2805" w:type="dxa"/>
            <w:vAlign w:val="center"/>
            <w:hideMark/>
          </w:tcPr>
          <w:p w:rsidR="009F471C" w:rsidRPr="008202CB" w:rsidRDefault="00C222A9" w:rsidP="008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2CB">
              <w:rPr>
                <w:rFonts w:ascii="Times New Roman" w:eastAsia="Times New Roman" w:hAnsi="Times New Roman" w:cs="Times New Roman"/>
              </w:rPr>
              <w:t>1.12 ± 0.05</w:t>
            </w:r>
          </w:p>
        </w:tc>
        <w:tc>
          <w:tcPr>
            <w:tcW w:w="2805" w:type="dxa"/>
            <w:vAlign w:val="center"/>
            <w:hideMark/>
          </w:tcPr>
          <w:p w:rsidR="009F471C" w:rsidRPr="008202CB" w:rsidRDefault="00C222A9" w:rsidP="008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2CB">
              <w:rPr>
                <w:rFonts w:ascii="Times New Roman" w:eastAsia="Times New Roman" w:hAnsi="Times New Roman" w:cs="Times New Roman"/>
              </w:rPr>
              <w:t>1.73 ± 0.11*</w:t>
            </w:r>
          </w:p>
        </w:tc>
      </w:tr>
      <w:tr w:rsidR="009F471C" w:rsidRPr="008202CB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9F471C" w:rsidRPr="008202CB" w:rsidRDefault="00C222A9" w:rsidP="008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2CB">
              <w:rPr>
                <w:rFonts w:ascii="Times New Roman" w:eastAsia="Times New Roman" w:hAnsi="Times New Roman" w:cs="Times New Roman"/>
              </w:rPr>
              <w:t>DHEAS TM4(RIA)</w:t>
            </w:r>
          </w:p>
        </w:tc>
        <w:tc>
          <w:tcPr>
            <w:tcW w:w="2805" w:type="dxa"/>
            <w:vAlign w:val="center"/>
            <w:hideMark/>
          </w:tcPr>
          <w:p w:rsidR="009F471C" w:rsidRPr="008202CB" w:rsidRDefault="00C222A9" w:rsidP="008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2CB">
              <w:rPr>
                <w:rFonts w:ascii="Times New Roman" w:eastAsia="Times New Roman" w:hAnsi="Times New Roman" w:cs="Times New Roman"/>
              </w:rPr>
              <w:t>774 ± 42</w:t>
            </w:r>
          </w:p>
        </w:tc>
        <w:tc>
          <w:tcPr>
            <w:tcW w:w="2805" w:type="dxa"/>
            <w:vAlign w:val="center"/>
            <w:hideMark/>
          </w:tcPr>
          <w:p w:rsidR="009F471C" w:rsidRPr="008202CB" w:rsidRDefault="00C222A9" w:rsidP="008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2CB">
              <w:rPr>
                <w:rFonts w:ascii="Times New Roman" w:eastAsia="Times New Roman" w:hAnsi="Times New Roman" w:cs="Times New Roman"/>
              </w:rPr>
              <w:t>1260 ± 95*</w:t>
            </w:r>
          </w:p>
        </w:tc>
      </w:tr>
      <w:tr w:rsidR="009F471C" w:rsidRPr="008202CB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9F471C" w:rsidRPr="008202CB" w:rsidRDefault="00C222A9" w:rsidP="008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2CB">
              <w:rPr>
                <w:rFonts w:ascii="Times New Roman" w:eastAsia="Times New Roman" w:hAnsi="Times New Roman" w:cs="Times New Roman"/>
              </w:rPr>
              <w:t>DHEAS TM4(LCMS)</w:t>
            </w:r>
          </w:p>
        </w:tc>
        <w:tc>
          <w:tcPr>
            <w:tcW w:w="2805" w:type="dxa"/>
            <w:vAlign w:val="center"/>
            <w:hideMark/>
          </w:tcPr>
          <w:p w:rsidR="009F471C" w:rsidRPr="008202CB" w:rsidRDefault="00C222A9" w:rsidP="008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2CB">
              <w:rPr>
                <w:rFonts w:ascii="Times New Roman" w:eastAsia="Times New Roman" w:hAnsi="Times New Roman" w:cs="Times New Roman"/>
              </w:rPr>
              <w:t>429 ± 19</w:t>
            </w:r>
          </w:p>
        </w:tc>
        <w:tc>
          <w:tcPr>
            <w:tcW w:w="2805" w:type="dxa"/>
            <w:vAlign w:val="center"/>
            <w:hideMark/>
          </w:tcPr>
          <w:p w:rsidR="009F471C" w:rsidRPr="008202CB" w:rsidRDefault="00C222A9" w:rsidP="008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2CB">
              <w:rPr>
                <w:rFonts w:ascii="Times New Roman" w:eastAsia="Times New Roman" w:hAnsi="Times New Roman" w:cs="Times New Roman"/>
              </w:rPr>
              <w:t>814 ± 60*</w:t>
            </w:r>
          </w:p>
        </w:tc>
      </w:tr>
      <w:tr w:rsidR="009F471C" w:rsidRPr="008202CB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9F471C" w:rsidRPr="008202CB" w:rsidRDefault="00C222A9" w:rsidP="008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2CB">
              <w:rPr>
                <w:rFonts w:ascii="Times New Roman" w:eastAsia="Times New Roman" w:hAnsi="Times New Roman" w:cs="Times New Roman"/>
              </w:rPr>
              <w:t>DHEA TM4</w:t>
            </w:r>
          </w:p>
        </w:tc>
        <w:tc>
          <w:tcPr>
            <w:tcW w:w="2805" w:type="dxa"/>
            <w:vAlign w:val="center"/>
            <w:hideMark/>
          </w:tcPr>
          <w:p w:rsidR="009F471C" w:rsidRPr="008202CB" w:rsidRDefault="00C222A9" w:rsidP="008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2CB">
              <w:rPr>
                <w:rFonts w:ascii="Times New Roman" w:eastAsia="Times New Roman" w:hAnsi="Times New Roman" w:cs="Times New Roman"/>
              </w:rPr>
              <w:t>1.77 ± 0.09</w:t>
            </w:r>
          </w:p>
        </w:tc>
        <w:tc>
          <w:tcPr>
            <w:tcW w:w="2805" w:type="dxa"/>
            <w:vAlign w:val="center"/>
            <w:hideMark/>
          </w:tcPr>
          <w:p w:rsidR="009F471C" w:rsidRPr="008202CB" w:rsidRDefault="00C222A9" w:rsidP="008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2CB">
              <w:rPr>
                <w:rFonts w:ascii="Times New Roman" w:eastAsia="Times New Roman" w:hAnsi="Times New Roman" w:cs="Times New Roman"/>
              </w:rPr>
              <w:t>2.76 ± 0.16*</w:t>
            </w:r>
          </w:p>
        </w:tc>
      </w:tr>
      <w:tr w:rsidR="009F471C" w:rsidRPr="008202CB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9F471C" w:rsidRPr="008202CB" w:rsidRDefault="00C222A9" w:rsidP="008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2CB">
              <w:rPr>
                <w:rFonts w:ascii="Times New Roman" w:eastAsia="Times New Roman" w:hAnsi="Times New Roman" w:cs="Times New Roman"/>
              </w:rPr>
              <w:t>DHEAS PM</w:t>
            </w:r>
          </w:p>
        </w:tc>
        <w:tc>
          <w:tcPr>
            <w:tcW w:w="2805" w:type="dxa"/>
            <w:vAlign w:val="center"/>
            <w:hideMark/>
          </w:tcPr>
          <w:p w:rsidR="009F471C" w:rsidRPr="008202CB" w:rsidRDefault="00C222A9" w:rsidP="008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2CB">
              <w:rPr>
                <w:rFonts w:ascii="Times New Roman" w:eastAsia="Times New Roman" w:hAnsi="Times New Roman" w:cs="Times New Roman"/>
              </w:rPr>
              <w:t>756 ± 29</w:t>
            </w:r>
          </w:p>
        </w:tc>
        <w:tc>
          <w:tcPr>
            <w:tcW w:w="2805" w:type="dxa"/>
            <w:vAlign w:val="center"/>
            <w:hideMark/>
          </w:tcPr>
          <w:p w:rsidR="009F471C" w:rsidRPr="008202CB" w:rsidRDefault="00C222A9" w:rsidP="008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2CB">
              <w:rPr>
                <w:rFonts w:ascii="Times New Roman" w:eastAsia="Times New Roman" w:hAnsi="Times New Roman" w:cs="Times New Roman"/>
              </w:rPr>
              <w:t>1233 ± 89*</w:t>
            </w:r>
          </w:p>
        </w:tc>
      </w:tr>
      <w:tr w:rsidR="009F471C" w:rsidRPr="008202CB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9F471C" w:rsidRPr="008202CB" w:rsidRDefault="00C222A9" w:rsidP="008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2CB">
              <w:rPr>
                <w:rFonts w:ascii="Times New Roman" w:eastAsia="Times New Roman" w:hAnsi="Times New Roman" w:cs="Times New Roman"/>
              </w:rPr>
              <w:t>DHEA PM</w:t>
            </w:r>
          </w:p>
        </w:tc>
        <w:tc>
          <w:tcPr>
            <w:tcW w:w="2805" w:type="dxa"/>
            <w:vAlign w:val="center"/>
            <w:hideMark/>
          </w:tcPr>
          <w:p w:rsidR="009F471C" w:rsidRPr="008202CB" w:rsidRDefault="00C222A9" w:rsidP="008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2CB">
              <w:rPr>
                <w:rFonts w:ascii="Times New Roman" w:eastAsia="Times New Roman" w:hAnsi="Times New Roman" w:cs="Times New Roman"/>
              </w:rPr>
              <w:t>3.81 ± 0.14</w:t>
            </w:r>
          </w:p>
        </w:tc>
        <w:tc>
          <w:tcPr>
            <w:tcW w:w="2805" w:type="dxa"/>
            <w:vAlign w:val="center"/>
            <w:hideMark/>
          </w:tcPr>
          <w:p w:rsidR="009F471C" w:rsidRPr="008202CB" w:rsidRDefault="00C222A9" w:rsidP="008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02CB">
              <w:rPr>
                <w:rFonts w:ascii="Times New Roman" w:eastAsia="Times New Roman" w:hAnsi="Times New Roman" w:cs="Times New Roman"/>
              </w:rPr>
              <w:t>4.75 ± 0.28*</w:t>
            </w:r>
          </w:p>
        </w:tc>
      </w:tr>
    </w:tbl>
    <w:p w:rsidR="009F471C" w:rsidRPr="008202CB" w:rsidRDefault="00C222A9" w:rsidP="008202C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202CB">
        <w:rPr>
          <w:rStyle w:val="Textoennegrita"/>
          <w:sz w:val="22"/>
          <w:szCs w:val="22"/>
        </w:rPr>
        <w:t>1</w:t>
      </w:r>
      <w:r w:rsidRPr="008202CB">
        <w:rPr>
          <w:sz w:val="22"/>
          <w:szCs w:val="22"/>
        </w:rPr>
        <w:t xml:space="preserve"> = 7 años; </w:t>
      </w:r>
      <w:r w:rsidRPr="008202CB">
        <w:rPr>
          <w:rStyle w:val="Textoennegrita"/>
          <w:sz w:val="22"/>
          <w:szCs w:val="22"/>
        </w:rPr>
        <w:t>TM2</w:t>
      </w:r>
      <w:r w:rsidRPr="008202CB">
        <w:rPr>
          <w:sz w:val="22"/>
          <w:szCs w:val="22"/>
        </w:rPr>
        <w:t xml:space="preserve">: Tanner de mamas 2; </w:t>
      </w:r>
      <w:r w:rsidRPr="008202CB">
        <w:rPr>
          <w:rStyle w:val="Textoennegrita"/>
          <w:sz w:val="22"/>
          <w:szCs w:val="22"/>
        </w:rPr>
        <w:t>TM4</w:t>
      </w:r>
      <w:r w:rsidRPr="008202CB">
        <w:rPr>
          <w:sz w:val="22"/>
          <w:szCs w:val="22"/>
        </w:rPr>
        <w:t xml:space="preserve">: Tanner de mamas 4; </w:t>
      </w:r>
      <w:r w:rsidRPr="008202CB">
        <w:rPr>
          <w:rStyle w:val="Textoennegrita"/>
          <w:sz w:val="22"/>
          <w:szCs w:val="22"/>
        </w:rPr>
        <w:t>PM</w:t>
      </w:r>
      <w:r w:rsidRPr="008202CB">
        <w:rPr>
          <w:sz w:val="22"/>
          <w:szCs w:val="22"/>
        </w:rPr>
        <w:t>: 1 año post menarquia</w:t>
      </w:r>
    </w:p>
    <w:p w:rsidR="009F471C" w:rsidRPr="008202CB" w:rsidRDefault="00C222A9" w:rsidP="008202C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202CB">
        <w:rPr>
          <w:sz w:val="22"/>
          <w:szCs w:val="22"/>
        </w:rPr>
        <w:t>En TM2, el grupo DA mostró un hiperandrogenismo leve persistente (T: 0,078 ± 0,006 frente a 0,066 ± 0,003 ng / ml y A2: 0,31 ± 0,1 frente a 0,27 ± 0,01 ng / ml; p &lt;0,05) en comparación con DN. No se observaron otras diferencias. Conclusión: En las adolescentes chilenas, la AP se asocia con aparición de mama, vello púbico y de menarquia más temprana y una persistencia de mayores concentraciones de DHEAS y DHEA a lo largo de la pubertad. Creemos que nuestros hallazgos respaldan que la adrenarquia no es un proceso benigno y el seguimiento continuo de esta cohorte es una oportunidad única para abordar prospectivamente las interrelaciones de la AP, el crecimiento temprano y la adiposidad como determinantes de la función ovárica y los riesgos metabólicos. Además, las mediciones de DHEAS realizadas por espectrometría de masas entregan valores más bajos con respecto a las mediciones de RIA, lo que hace necesario establecer valores de referencia para esta nueva metodología.</w:t>
      </w:r>
    </w:p>
    <w:p w:rsidR="00C222A9" w:rsidRPr="008202CB" w:rsidRDefault="00C222A9" w:rsidP="008202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02CB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8202CB">
        <w:rPr>
          <w:rFonts w:ascii="Times New Roman" w:eastAsia="Times New Roman" w:hAnsi="Times New Roman" w:cs="Times New Roman"/>
        </w:rPr>
        <w:t xml:space="preserve">FONDECYT: 1140447 </w:t>
      </w:r>
      <w:bookmarkEnd w:id="0"/>
    </w:p>
    <w:sectPr w:rsidR="00C222A9" w:rsidRPr="008202CB" w:rsidSect="009F471C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867DB"/>
    <w:rsid w:val="001D3C04"/>
    <w:rsid w:val="00407307"/>
    <w:rsid w:val="005867DB"/>
    <w:rsid w:val="008202CB"/>
    <w:rsid w:val="009F471C"/>
    <w:rsid w:val="00B00C8F"/>
    <w:rsid w:val="00C222A9"/>
    <w:rsid w:val="00C4784E"/>
    <w:rsid w:val="00CF3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7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F47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5</cp:revision>
  <cp:lastPrinted>2018-08-03T19:43:00Z</cp:lastPrinted>
  <dcterms:created xsi:type="dcterms:W3CDTF">2018-08-03T19:43:00Z</dcterms:created>
  <dcterms:modified xsi:type="dcterms:W3CDTF">2018-09-30T03:14:00Z</dcterms:modified>
</cp:coreProperties>
</file>